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0B93" w14:textId="77777777" w:rsidR="00CC509B" w:rsidRPr="009B5290" w:rsidRDefault="00CC509B" w:rsidP="00CC50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Hlk128397922"/>
      <w:bookmarkStart w:id="1" w:name="_Hlk160784568"/>
      <w:bookmarkStart w:id="2" w:name="_Hlk501022809"/>
      <w:r w:rsidRPr="009B529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Gazdasági, Műszaki, Jogi, Környezetvédelmi Bizottság </w:t>
      </w:r>
    </w:p>
    <w:p w14:paraId="10EEECC2" w14:textId="77777777" w:rsidR="00CC509B" w:rsidRPr="009B5290" w:rsidRDefault="00CC509B" w:rsidP="00CC5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8FD86C0" w14:textId="77777777" w:rsidR="00CC509B" w:rsidRPr="009B5290" w:rsidRDefault="00CC509B" w:rsidP="00CC5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B529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ELŐTERJESZTÉS</w:t>
      </w:r>
    </w:p>
    <w:p w14:paraId="71273708" w14:textId="77777777" w:rsidR="00CC509B" w:rsidRPr="009B5290" w:rsidRDefault="00CC509B" w:rsidP="00CC50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9B5290">
        <w:rPr>
          <w:rFonts w:ascii="Times New Roman" w:eastAsia="Times New Roman" w:hAnsi="Times New Roman"/>
          <w:sz w:val="24"/>
          <w:szCs w:val="24"/>
          <w:lang w:eastAsia="hu-HU"/>
        </w:rPr>
        <w:t>Kisbér Város Önkormányzat Képviselő-testülete</w:t>
      </w:r>
    </w:p>
    <w:p w14:paraId="08773275" w14:textId="77777777" w:rsidR="00CC509B" w:rsidRPr="009B5290" w:rsidRDefault="00CC509B" w:rsidP="00CC50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5290">
        <w:rPr>
          <w:rFonts w:ascii="Times New Roman" w:eastAsia="Times New Roman" w:hAnsi="Times New Roman"/>
          <w:b/>
          <w:sz w:val="24"/>
          <w:szCs w:val="24"/>
          <w:lang w:eastAsia="hu-HU"/>
        </w:rPr>
        <w:t>2024. szeptember 12-ei</w:t>
      </w:r>
      <w:r w:rsidRPr="009B5290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</w:t>
      </w:r>
    </w:p>
    <w:bookmarkEnd w:id="0"/>
    <w:bookmarkEnd w:id="1"/>
    <w:bookmarkEnd w:id="2"/>
    <w:p w14:paraId="5FD7726B" w14:textId="77777777" w:rsidR="00CC509B" w:rsidRDefault="00CC509B" w:rsidP="00CC50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3CEF99C8" w14:textId="3F262475" w:rsidR="00786A7C" w:rsidRPr="005C5DD0" w:rsidRDefault="00786A7C" w:rsidP="00786A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>: közvilágítás korszerűsítés</w:t>
      </w:r>
    </w:p>
    <w:p w14:paraId="3E538C2A" w14:textId="77777777" w:rsidR="00CC509B" w:rsidRPr="009B5290" w:rsidRDefault="00CC509B" w:rsidP="00CC5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90">
        <w:rPr>
          <w:rFonts w:ascii="Times New Roman" w:eastAsia="Times New Roman" w:hAnsi="Times New Roman"/>
          <w:b/>
          <w:sz w:val="24"/>
          <w:szCs w:val="24"/>
          <w:lang w:eastAsia="hu-HU"/>
        </w:rPr>
        <w:t>Tisztelt Képviselő-testület!</w:t>
      </w:r>
    </w:p>
    <w:p w14:paraId="60D66540" w14:textId="77777777" w:rsidR="00786A7C" w:rsidRPr="005C5DD0" w:rsidRDefault="00786A7C" w:rsidP="00786A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10FAEAE" w14:textId="358A4E55" w:rsidR="007E2A59" w:rsidRPr="005C5DD0" w:rsidRDefault="001D1E3B" w:rsidP="004F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A Fénysport Lux Kft. a mellékelt ajánlatot küldte közvilágítás korszerűsítésre. A lámpatesteket felmérve 764 db nem ledes közvilágítási lámpatestet találtak, melyek ledesre történő cseréjére dolgoztak ki három féle koncepciót 2-2 féle változatban. Számításaiknál több helyütt is feltételezett díjjal számoltak. A holnapi ülésre ígértek új számításokat. </w:t>
      </w:r>
    </w:p>
    <w:p w14:paraId="643B7929" w14:textId="77777777" w:rsidR="004F014C" w:rsidRPr="005C5DD0" w:rsidRDefault="004F014C" w:rsidP="004F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555927F" w14:textId="1A67F597" w:rsidR="001D1E3B" w:rsidRPr="005C5DD0" w:rsidRDefault="001D1E3B" w:rsidP="004F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>A koncepció lényege az lenne, hogy a közvilágítás korszerűsítését a cég elvégezné saját költségén, a megtérülési időszak alatt az általuk számított éves megtakarítás összegét az önkormányzat nekik fizetné meg. Konstrukciótól</w:t>
      </w:r>
      <w:r w:rsidR="00DE1AF0" w:rsidRPr="005C5DD0">
        <w:rPr>
          <w:rFonts w:ascii="Times New Roman" w:eastAsia="Times New Roman" w:hAnsi="Times New Roman"/>
          <w:sz w:val="24"/>
          <w:szCs w:val="24"/>
          <w:lang w:eastAsia="hu-HU"/>
        </w:rPr>
        <w:t>, változattól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 függően </w:t>
      </w:r>
      <w:r w:rsidR="00CC509B">
        <w:rPr>
          <w:rFonts w:ascii="Times New Roman" w:eastAsia="Times New Roman" w:hAnsi="Times New Roman"/>
          <w:sz w:val="24"/>
          <w:szCs w:val="24"/>
          <w:lang w:eastAsia="hu-HU"/>
        </w:rPr>
        <w:t>4-10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 év alatt</w:t>
      </w:r>
      <w:r w:rsidR="004F014C"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 futna ki a projekt. Az új lámpatestek üzemeltetését a felszerelést követően szintén a cég végezné. </w:t>
      </w:r>
    </w:p>
    <w:p w14:paraId="38262B42" w14:textId="77777777" w:rsidR="004F014C" w:rsidRPr="005C5DD0" w:rsidRDefault="004F014C" w:rsidP="004F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64EFEE" w14:textId="585AB026" w:rsidR="004F014C" w:rsidRPr="005C5DD0" w:rsidRDefault="004F014C" w:rsidP="004F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Az egyes koncepciók kétféle fizetési konstrukciójánál az időtáv mellett a másik nagy eltérés, hogy rövidebb távnál a szerződéskötéskor jelentkezik egy évnyi megtakarítási összeg </w:t>
      </w:r>
      <w:r w:rsidR="00DE1AF0"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nagyságú 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fizetési kötelezettség, a hosszabb távú esetén ilyen kötelezettség nincs, azonban hosszabb az az időszak, míg a cégnek fizetünk, így többet is kell összességében kifizetni. </w:t>
      </w:r>
      <w:r w:rsidR="00DE2696">
        <w:rPr>
          <w:rFonts w:ascii="Times New Roman" w:eastAsia="Times New Roman" w:hAnsi="Times New Roman"/>
          <w:sz w:val="24"/>
          <w:szCs w:val="24"/>
          <w:lang w:eastAsia="hu-HU"/>
        </w:rPr>
        <w:t>(lásd. ajánlatban táblázatok)</w:t>
      </w:r>
    </w:p>
    <w:p w14:paraId="4203EBE2" w14:textId="77777777" w:rsidR="004F014C" w:rsidRPr="005C5DD0" w:rsidRDefault="004F014C" w:rsidP="004F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13EB26" w14:textId="2B65BBBB" w:rsidR="004F014C" w:rsidRDefault="004F014C" w:rsidP="004F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Közvilágítás korszerűsítési ajánlattal több ízben találkoztunk már, ez idáig sosem éltünk vele. </w:t>
      </w:r>
    </w:p>
    <w:p w14:paraId="54B0DA39" w14:textId="77777777" w:rsidR="00DE2696" w:rsidRPr="005C5DD0" w:rsidRDefault="00DE2696" w:rsidP="004F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B025F5" w14:textId="77777777" w:rsidR="00AB6A50" w:rsidRPr="005C5DD0" w:rsidRDefault="004F014C" w:rsidP="00584A96">
      <w:pPr>
        <w:pStyle w:val="StlusBal108cm"/>
        <w:spacing w:after="0" w:line="240" w:lineRule="auto"/>
        <w:ind w:left="0"/>
        <w:rPr>
          <w:rFonts w:ascii="Times New Roman" w:hAnsi="Times New Roman"/>
          <w:szCs w:val="24"/>
        </w:rPr>
      </w:pPr>
      <w:r w:rsidRPr="005C5DD0">
        <w:rPr>
          <w:rFonts w:ascii="Times New Roman" w:hAnsi="Times New Roman"/>
          <w:szCs w:val="24"/>
        </w:rPr>
        <w:t>Jelenleg a közvilágítás aktív berendezéseinek üzemeltetésére az E.on Észak-dunántúli Áramhálózati Zrt</w:t>
      </w:r>
      <w:r w:rsidR="00DE1AF0" w:rsidRPr="005C5DD0">
        <w:rPr>
          <w:rFonts w:ascii="Times New Roman" w:hAnsi="Times New Roman"/>
          <w:szCs w:val="24"/>
        </w:rPr>
        <w:t xml:space="preserve">-vel van csoportos cserés üzemeltetési szerződésünk, ami 2026. 12. 31-ig szól. A szerződésben vállalták a csoportos cserét, melyet 2023-ban el is végeztek. A szerződés szerint azt rendes felmondással nem lehet felmondani. </w:t>
      </w:r>
    </w:p>
    <w:p w14:paraId="14070351" w14:textId="77777777" w:rsidR="00AB6A50" w:rsidRPr="005C5DD0" w:rsidRDefault="00AB6A50" w:rsidP="00584A96">
      <w:pPr>
        <w:pStyle w:val="StlusBal108cm"/>
        <w:spacing w:after="0" w:line="240" w:lineRule="auto"/>
        <w:ind w:left="0"/>
        <w:rPr>
          <w:rFonts w:ascii="Times New Roman" w:hAnsi="Times New Roman"/>
          <w:szCs w:val="24"/>
        </w:rPr>
      </w:pPr>
    </w:p>
    <w:p w14:paraId="188B09C3" w14:textId="07AD078B" w:rsidR="00584A96" w:rsidRPr="005C5DD0" w:rsidRDefault="00DE1AF0" w:rsidP="00584A96">
      <w:pPr>
        <w:pStyle w:val="StlusBal108cm"/>
        <w:spacing w:after="0" w:line="240" w:lineRule="auto"/>
        <w:ind w:left="0"/>
        <w:rPr>
          <w:rFonts w:ascii="Times New Roman" w:hAnsi="Times New Roman"/>
          <w:i/>
          <w:iCs/>
          <w:szCs w:val="24"/>
          <w:lang w:val="hu-HU"/>
        </w:rPr>
      </w:pPr>
      <w:r w:rsidRPr="005C5DD0">
        <w:rPr>
          <w:rFonts w:ascii="Times New Roman" w:hAnsi="Times New Roman"/>
          <w:szCs w:val="24"/>
        </w:rPr>
        <w:t>A szerződés biztosítékai között az alábbi szerepel: „</w:t>
      </w:r>
      <w:r w:rsidR="00584A96" w:rsidRPr="005C5DD0">
        <w:rPr>
          <w:rFonts w:ascii="Times New Roman" w:hAnsi="Times New Roman"/>
          <w:i/>
          <w:iCs/>
          <w:szCs w:val="24"/>
          <w:lang w:val="hu-HU"/>
        </w:rPr>
        <w:t>A Felek megállapodnak, hogy a jelen Szerződésben foglalt kötelezettségek bármelyikének megszegése esetén a károkozó fél megtéríti a károsult félnek a szerződésszegéssel kapcsolatban felmerült kárát, költségét és kiadását, tekintet nélkül arra, hogy jelen Szerződést a szerződésszegés miatt felmondták-e.</w:t>
      </w:r>
    </w:p>
    <w:p w14:paraId="38A2A66D" w14:textId="01698E29" w:rsidR="004F014C" w:rsidRPr="005C5DD0" w:rsidRDefault="00584A96" w:rsidP="00AB6A5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C5DD0">
        <w:rPr>
          <w:rFonts w:ascii="Times New Roman" w:hAnsi="Times New Roman"/>
          <w:i/>
          <w:iCs/>
          <w:sz w:val="24"/>
          <w:szCs w:val="24"/>
        </w:rPr>
        <w:t xml:space="preserve">Amennyiben jelen szerződés a 10. pontjában meghatározott időtartam lejárata előtt bármilyen okból megszűnik, úgy a Megrendelő köteles a 2. számú melléklet szerinti csoportos karbantartás megállapodásban rögzített többletköltségének a szerződés 10. pontjában meghatározott időtartamig hátralévő időarányos részét a Szolgáltató részére megtéríti.” </w:t>
      </w:r>
    </w:p>
    <w:p w14:paraId="45AED43B" w14:textId="77777777" w:rsidR="00AB6A50" w:rsidRPr="005C5DD0" w:rsidRDefault="00AB6A50" w:rsidP="00AB6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D26DE" w14:textId="77777777" w:rsidR="00AB6A50" w:rsidRPr="005C5DD0" w:rsidRDefault="00584A96" w:rsidP="00AB6A5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DD0">
        <w:rPr>
          <w:rFonts w:ascii="Times New Roman" w:hAnsi="Times New Roman"/>
          <w:sz w:val="24"/>
          <w:szCs w:val="24"/>
        </w:rPr>
        <w:t>A csoportos sorcsere költsége 2023-ban 1.633.857,- Ft. + áfa volt.</w:t>
      </w:r>
    </w:p>
    <w:p w14:paraId="431365E7" w14:textId="77777777" w:rsidR="00AB6A50" w:rsidRPr="005C5DD0" w:rsidRDefault="00AB6A50" w:rsidP="00AB6A5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A0E6B5E" w14:textId="598827A1" w:rsidR="00AB6A50" w:rsidRPr="005C5DD0" w:rsidRDefault="00AB6A50" w:rsidP="00AB6A5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</w:rPr>
      </w:pPr>
      <w:r w:rsidRPr="005C5DD0">
        <w:rPr>
          <w:rFonts w:ascii="Times New Roman" w:hAnsi="Times New Roman"/>
          <w:sz w:val="24"/>
          <w:szCs w:val="24"/>
        </w:rPr>
        <w:t xml:space="preserve">A szerződés 2. sz. melléklete egy </w:t>
      </w:r>
      <w:r w:rsidRPr="00DE2696">
        <w:rPr>
          <w:rFonts w:ascii="Times New Roman" w:hAnsi="Times New Roman"/>
          <w:i/>
          <w:iCs/>
          <w:sz w:val="24"/>
          <w:szCs w:val="24"/>
        </w:rPr>
        <w:t>megállapodás a közvilágítási fényforrások avulásával összefüggő megelőző jellegű karbantartásáról,</w:t>
      </w:r>
      <w:r w:rsidRPr="005C5DD0">
        <w:rPr>
          <w:rFonts w:ascii="Times New Roman" w:hAnsi="Times New Roman"/>
          <w:sz w:val="24"/>
          <w:szCs w:val="24"/>
        </w:rPr>
        <w:t xml:space="preserve"> mely tartalmazza, hogy „</w:t>
      </w:r>
      <w:r w:rsidRPr="005C5DD0">
        <w:rPr>
          <w:rFonts w:ascii="Times New Roman" w:hAnsi="Times New Roman"/>
          <w:bCs/>
          <w:i/>
          <w:iCs/>
          <w:sz w:val="24"/>
          <w:szCs w:val="24"/>
        </w:rPr>
        <w:t xml:space="preserve">Megrendelő vállalja, hogy a település közvilágítási berendezéseire (lámpatesteire) a Szolgáltatóval érvényes szerződést annak megszűnéséig fenntartja, vagy legalább négy évig fenntartja.” </w:t>
      </w:r>
    </w:p>
    <w:p w14:paraId="5FC2E8C3" w14:textId="77777777" w:rsidR="00AB6A50" w:rsidRPr="005C5DD0" w:rsidRDefault="00AB6A50" w:rsidP="00AB6A5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</w:rPr>
      </w:pPr>
    </w:p>
    <w:p w14:paraId="5639BF1A" w14:textId="2A376C24" w:rsidR="00AB6A50" w:rsidRPr="005C5DD0" w:rsidRDefault="00AB6A50" w:rsidP="00AB6A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5DD0">
        <w:rPr>
          <w:rFonts w:ascii="Times New Roman" w:hAnsi="Times New Roman"/>
          <w:bCs/>
          <w:i/>
          <w:iCs/>
          <w:sz w:val="24"/>
          <w:szCs w:val="24"/>
        </w:rPr>
        <w:t>„A megtérítés paraméterei a következők, mely kizárólag a szerződés határideje előtti felmondás esetén él: megállapodás értelmében a Megrendelő a Szolgáltatónak a következő módon tartozik megtéríteni a rögzített többletköltségét.</w:t>
      </w:r>
    </w:p>
    <w:p w14:paraId="00652D01" w14:textId="77777777" w:rsidR="00AB6A50" w:rsidRPr="005C5DD0" w:rsidRDefault="00AB6A50" w:rsidP="00AB6A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highlight w:val="green"/>
        </w:rPr>
      </w:pPr>
    </w:p>
    <w:p w14:paraId="447C29B3" w14:textId="77777777" w:rsidR="00AB6A50" w:rsidRPr="005C5DD0" w:rsidRDefault="00AB6A50" w:rsidP="00AB6A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5DD0">
        <w:rPr>
          <w:rFonts w:ascii="Times New Roman" w:hAnsi="Times New Roman"/>
          <w:bCs/>
          <w:i/>
          <w:iCs/>
          <w:sz w:val="24"/>
          <w:szCs w:val="24"/>
        </w:rPr>
        <w:t>A többletköltség megtérítésének számítása:</w:t>
      </w:r>
    </w:p>
    <w:p w14:paraId="6A58838E" w14:textId="2037C826" w:rsidR="00AB6A50" w:rsidRPr="005C5DD0" w:rsidRDefault="00AB6A50" w:rsidP="00AB6A50">
      <w:pPr>
        <w:numPr>
          <w:ilvl w:val="1"/>
          <w:numId w:val="1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432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</w:rPr>
      </w:pPr>
      <w:r w:rsidRPr="005C5DD0">
        <w:rPr>
          <w:rFonts w:ascii="Times New Roman" w:hAnsi="Times New Roman"/>
          <w:bCs/>
          <w:i/>
          <w:iCs/>
          <w:sz w:val="24"/>
          <w:szCs w:val="24"/>
        </w:rPr>
        <w:t xml:space="preserve">A leírt csoportos karbantartás költségét 48 hónappal osztjuk. A többletköltség megtérítéskor ezt az összeget szorozzuk meg a tárgy időszakból hátra levő hónapok számával.” </w:t>
      </w:r>
    </w:p>
    <w:p w14:paraId="1A6EA5E5" w14:textId="77777777" w:rsidR="00AB6A50" w:rsidRPr="005C5DD0" w:rsidRDefault="00AB6A50" w:rsidP="00AB6A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ABD058" w14:textId="54975069" w:rsidR="00584A96" w:rsidRPr="005C5DD0" w:rsidRDefault="00AB6A50" w:rsidP="00AB6A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DD0">
        <w:rPr>
          <w:rFonts w:ascii="Times New Roman" w:hAnsi="Times New Roman"/>
          <w:bCs/>
          <w:sz w:val="24"/>
          <w:szCs w:val="24"/>
        </w:rPr>
        <w:t>A többletköltség bruttó 1.210.416,- Ft</w:t>
      </w:r>
      <w:r w:rsidR="00534ECC">
        <w:rPr>
          <w:rFonts w:ascii="Times New Roman" w:hAnsi="Times New Roman"/>
          <w:bCs/>
          <w:sz w:val="24"/>
          <w:szCs w:val="24"/>
        </w:rPr>
        <w:t>..</w:t>
      </w:r>
      <w:r w:rsidR="004D5411" w:rsidRPr="005C5DD0">
        <w:rPr>
          <w:rFonts w:ascii="Times New Roman" w:hAnsi="Times New Roman"/>
          <w:bCs/>
          <w:sz w:val="24"/>
          <w:szCs w:val="24"/>
        </w:rPr>
        <w:t xml:space="preserve"> </w:t>
      </w:r>
    </w:p>
    <w:p w14:paraId="52B93791" w14:textId="77777777" w:rsidR="004D5411" w:rsidRPr="005C5DD0" w:rsidRDefault="004D5411" w:rsidP="00AB6A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50B0E4" w14:textId="7FB4F6C3" w:rsidR="004D5411" w:rsidRPr="005C5DD0" w:rsidRDefault="00534ECC" w:rsidP="00AB6A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E.on Zrt. munkatársa megkeresésünkre a szerződés felmondásának esetén a többletköltség megfizetését tartalmazó szerződésrészt jelölte meg, mint feléjük fent álló kötelezettséget. </w:t>
      </w:r>
    </w:p>
    <w:p w14:paraId="1663D0AB" w14:textId="77777777" w:rsidR="004D5411" w:rsidRPr="005C5DD0" w:rsidRDefault="004D5411" w:rsidP="00AB6A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B72F12" w14:textId="29423236" w:rsidR="004D5411" w:rsidRPr="005C5DD0" w:rsidRDefault="004D5411" w:rsidP="00AB6A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DD0">
        <w:rPr>
          <w:rFonts w:ascii="Times New Roman" w:hAnsi="Times New Roman"/>
          <w:bCs/>
          <w:sz w:val="24"/>
          <w:szCs w:val="24"/>
        </w:rPr>
        <w:t xml:space="preserve">Kérem, hogy a Fénysport Lux Kft. közvilágítás korszerűsítési ajánlatát szíveskedjenek megvitatni és a fentiek tükrében </w:t>
      </w:r>
      <w:r w:rsidR="00CC509B">
        <w:rPr>
          <w:rFonts w:ascii="Times New Roman" w:hAnsi="Times New Roman"/>
          <w:bCs/>
          <w:sz w:val="24"/>
          <w:szCs w:val="24"/>
        </w:rPr>
        <w:t>döntést hozni</w:t>
      </w:r>
      <w:r w:rsidRPr="005C5DD0">
        <w:rPr>
          <w:rFonts w:ascii="Times New Roman" w:hAnsi="Times New Roman"/>
          <w:bCs/>
          <w:sz w:val="24"/>
          <w:szCs w:val="24"/>
        </w:rPr>
        <w:t xml:space="preserve">. </w:t>
      </w:r>
    </w:p>
    <w:p w14:paraId="6F848F4A" w14:textId="77777777" w:rsidR="004D5411" w:rsidRPr="005C5DD0" w:rsidRDefault="004D5411" w:rsidP="00AB6A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697406" w14:textId="2131876C" w:rsidR="004D5411" w:rsidRPr="005C5DD0" w:rsidRDefault="004D5411" w:rsidP="004D54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Kisbér, 2024. szeptember </w:t>
      </w:r>
      <w:r w:rsidR="00534ECC"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5494E810" w14:textId="77777777" w:rsidR="004D5411" w:rsidRPr="005C5DD0" w:rsidRDefault="004D5411" w:rsidP="004D54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F979E81" w14:textId="77777777" w:rsidR="004D5411" w:rsidRPr="005C5DD0" w:rsidRDefault="004D5411" w:rsidP="004D541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Andrási Tamás s.k.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26A89BE6" w14:textId="77777777" w:rsidR="004D5411" w:rsidRPr="005C5DD0" w:rsidRDefault="004D5411" w:rsidP="004D541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2D7182B9" w14:textId="77777777" w:rsidR="004D5411" w:rsidRPr="005C5DD0" w:rsidRDefault="004D5411" w:rsidP="004D5411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B0C793" w14:textId="77777777" w:rsidR="004D5411" w:rsidRPr="005C5DD0" w:rsidRDefault="004D5411" w:rsidP="004D5411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E54078" w14:textId="77777777" w:rsidR="004D5411" w:rsidRPr="005C5DD0" w:rsidRDefault="004D5411" w:rsidP="004D541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5C5DD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53E7355A" w14:textId="4EA9C2CF" w:rsidR="004D5411" w:rsidRPr="005C5DD0" w:rsidRDefault="004D5411" w:rsidP="004D54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Kisbér Város Önkormányzat Képviselő-testülete </w:t>
      </w:r>
    </w:p>
    <w:p w14:paraId="67F69DFA" w14:textId="77777777" w:rsidR="004D5411" w:rsidRPr="005C5DD0" w:rsidRDefault="004D5411" w:rsidP="004D54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9C7F2D" w14:textId="247AD642" w:rsidR="005C5DD0" w:rsidRPr="005C5DD0" w:rsidRDefault="005C5DD0" w:rsidP="004D541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</w:pPr>
      <w:r w:rsidRPr="005C5DD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„A” változat:</w:t>
      </w:r>
    </w:p>
    <w:p w14:paraId="505FF8EF" w14:textId="77777777" w:rsidR="005C5DD0" w:rsidRPr="005C5DD0" w:rsidRDefault="005C5DD0" w:rsidP="004D54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1EF2AC9" w14:textId="038F52F8" w:rsidR="004D5411" w:rsidRPr="005C5DD0" w:rsidRDefault="00CC509B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elfogadja</w:t>
      </w:r>
      <w:r w:rsidR="005C5DD0"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 a Fénysport Lux Kft. </w:t>
      </w:r>
      <w:r w:rsidR="005C5DD0" w:rsidRPr="00DE2696">
        <w:rPr>
          <w:rFonts w:ascii="Times New Roman" w:eastAsia="Times New Roman" w:hAnsi="Times New Roman"/>
          <w:i/>
          <w:iCs/>
          <w:sz w:val="24"/>
          <w:szCs w:val="24"/>
          <w:highlight w:val="yellow"/>
          <w:lang w:eastAsia="hu-HU"/>
        </w:rPr>
        <w:t>1. / 2. / 3. koncepcióját I. / II. finanszírozási konstrukcióval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C5DD0"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a település közvilágításának led-es fényforrásokra történő korszerűsítésére. </w:t>
      </w:r>
    </w:p>
    <w:p w14:paraId="7F495E25" w14:textId="77777777" w:rsidR="004D5411" w:rsidRPr="005C5DD0" w:rsidRDefault="004D5411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3" w:name="_Hlk17971343"/>
    </w:p>
    <w:p w14:paraId="749112F2" w14:textId="19B76829" w:rsidR="005C5DD0" w:rsidRPr="005C5DD0" w:rsidRDefault="005C5DD0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az E.on Észak-dunántúli Áramhálózati Zrt-vel kötött csoportos cserés üzemeltetési szerződés felmondását kezdeményezi a korszerűsítés megkezdésének időpontjával. </w:t>
      </w:r>
    </w:p>
    <w:p w14:paraId="71C2E087" w14:textId="77777777" w:rsidR="005C5DD0" w:rsidRPr="005C5DD0" w:rsidRDefault="005C5DD0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ADBED5" w14:textId="09E4C3E3" w:rsidR="004D5411" w:rsidRPr="005C5DD0" w:rsidRDefault="00CC509B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felhatalmazza a város polgármesterét a szükséges eljárások lefolytatására. </w:t>
      </w:r>
    </w:p>
    <w:p w14:paraId="707EC1ED" w14:textId="77777777" w:rsidR="004D5411" w:rsidRPr="005C5DD0" w:rsidRDefault="004D5411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E2850D" w14:textId="77777777" w:rsidR="004D5411" w:rsidRPr="005C5DD0" w:rsidRDefault="004D5411" w:rsidP="005C5DD0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14:paraId="1217298E" w14:textId="420D9BB4" w:rsidR="004D5411" w:rsidRPr="005C5DD0" w:rsidRDefault="004D5411" w:rsidP="005C5DD0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C509B">
        <w:rPr>
          <w:rFonts w:ascii="Times New Roman" w:eastAsia="Times New Roman" w:hAnsi="Times New Roman"/>
          <w:sz w:val="24"/>
          <w:szCs w:val="24"/>
          <w:lang w:eastAsia="hu-HU"/>
        </w:rPr>
        <w:t>Sinkovicz Zoltán polgármester</w:t>
      </w:r>
    </w:p>
    <w:bookmarkEnd w:id="3"/>
    <w:p w14:paraId="1DA1DA4B" w14:textId="77777777" w:rsidR="004D5411" w:rsidRPr="005C5DD0" w:rsidRDefault="004D5411" w:rsidP="004D5411">
      <w:pPr>
        <w:spacing w:after="0"/>
        <w:rPr>
          <w:rFonts w:ascii="Times New Roman" w:hAnsi="Times New Roman"/>
          <w:sz w:val="24"/>
          <w:szCs w:val="24"/>
        </w:rPr>
      </w:pPr>
    </w:p>
    <w:p w14:paraId="21AE5917" w14:textId="39475314" w:rsidR="004D5411" w:rsidRPr="005C5DD0" w:rsidRDefault="005C5DD0" w:rsidP="004D541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5C5DD0">
        <w:rPr>
          <w:rFonts w:ascii="Times New Roman" w:hAnsi="Times New Roman"/>
          <w:bCs/>
          <w:i/>
          <w:iCs/>
          <w:sz w:val="24"/>
          <w:szCs w:val="24"/>
          <w:u w:val="single"/>
        </w:rPr>
        <w:t>„B” változat:</w:t>
      </w:r>
    </w:p>
    <w:p w14:paraId="549E2807" w14:textId="77777777" w:rsidR="005C5DD0" w:rsidRPr="00CC509B" w:rsidRDefault="005C5DD0" w:rsidP="004D541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D9C50CA" w14:textId="346BE2E2" w:rsidR="005C5DD0" w:rsidRPr="00CC509B" w:rsidRDefault="005C5DD0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C509B">
        <w:rPr>
          <w:rFonts w:ascii="Times New Roman" w:eastAsia="Times New Roman" w:hAnsi="Times New Roman"/>
          <w:sz w:val="24"/>
          <w:szCs w:val="24"/>
          <w:lang w:eastAsia="hu-HU"/>
        </w:rPr>
        <w:t xml:space="preserve">nem </w:t>
      </w:r>
      <w:r w:rsidR="00CC509B" w:rsidRPr="00CC509B">
        <w:rPr>
          <w:rFonts w:ascii="Times New Roman" w:eastAsia="Times New Roman" w:hAnsi="Times New Roman"/>
          <w:sz w:val="24"/>
          <w:szCs w:val="24"/>
          <w:lang w:eastAsia="hu-HU"/>
        </w:rPr>
        <w:t>fogadja el</w:t>
      </w:r>
      <w:r w:rsidRPr="00CC509B">
        <w:rPr>
          <w:rFonts w:ascii="Times New Roman" w:eastAsia="Times New Roman" w:hAnsi="Times New Roman"/>
          <w:sz w:val="24"/>
          <w:szCs w:val="24"/>
          <w:lang w:eastAsia="hu-HU"/>
        </w:rPr>
        <w:t xml:space="preserve"> a Fénysport Lux Kft. közvilágítás korszerűsítésére adott ajánlatát</w:t>
      </w:r>
      <w:r w:rsidR="00CC509B" w:rsidRPr="00CC509B">
        <w:rPr>
          <w:rFonts w:ascii="Times New Roman" w:eastAsia="Times New Roman" w:hAnsi="Times New Roman"/>
          <w:sz w:val="24"/>
          <w:szCs w:val="24"/>
          <w:lang w:eastAsia="hu-HU"/>
        </w:rPr>
        <w:t>, a közvilágítás</w:t>
      </w:r>
      <w:r w:rsidR="00CC509B">
        <w:rPr>
          <w:rFonts w:ascii="Times New Roman" w:eastAsia="Times New Roman" w:hAnsi="Times New Roman"/>
          <w:sz w:val="24"/>
          <w:szCs w:val="24"/>
          <w:lang w:eastAsia="hu-HU"/>
        </w:rPr>
        <w:t xml:space="preserve"> korszerűsítését</w:t>
      </w:r>
      <w:r w:rsidR="00CC509B" w:rsidRPr="00CC509B">
        <w:rPr>
          <w:rFonts w:ascii="Times New Roman" w:eastAsia="Times New Roman" w:hAnsi="Times New Roman"/>
          <w:sz w:val="24"/>
          <w:szCs w:val="24"/>
          <w:lang w:eastAsia="hu-HU"/>
        </w:rPr>
        <w:t xml:space="preserve"> az E.on Észak-dunántúli Áramhálózati Zrt-vel </w:t>
      </w:r>
      <w:r w:rsidR="00CC509B" w:rsidRPr="00CC509B">
        <w:rPr>
          <w:rFonts w:ascii="Times New Roman" w:hAnsi="Times New Roman"/>
          <w:sz w:val="24"/>
          <w:szCs w:val="24"/>
        </w:rPr>
        <w:t>a közvilágítás aktív berendezéseinek üzemeltetésére szóló szerződés fennállta alatt nem kívánja megvalósítani.</w:t>
      </w:r>
    </w:p>
    <w:p w14:paraId="5BEA69BF" w14:textId="77777777" w:rsidR="005C5DD0" w:rsidRPr="00CC509B" w:rsidRDefault="005C5DD0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1452C4A4" w14:textId="77777777" w:rsidR="005C5DD0" w:rsidRPr="00CC509B" w:rsidRDefault="005C5DD0" w:rsidP="005C5DD0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C509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Határidő:</w:t>
      </w:r>
      <w:r w:rsidRPr="00CC509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 w:rsidRPr="00CC509B">
        <w:rPr>
          <w:rFonts w:ascii="Times New Roman" w:eastAsia="Times New Roman" w:hAnsi="Times New Roman"/>
          <w:sz w:val="24"/>
          <w:szCs w:val="24"/>
          <w:lang w:eastAsia="hu-HU"/>
        </w:rPr>
        <w:t>azonnal</w:t>
      </w:r>
    </w:p>
    <w:p w14:paraId="464E8911" w14:textId="62C2FDA6" w:rsidR="005C5DD0" w:rsidRPr="005C5DD0" w:rsidRDefault="005C5DD0" w:rsidP="005C5DD0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C509B">
        <w:rPr>
          <w:rFonts w:ascii="Times New Roman" w:eastAsia="Times New Roman" w:hAnsi="Times New Roman"/>
          <w:sz w:val="24"/>
          <w:szCs w:val="24"/>
          <w:lang w:eastAsia="hu-HU"/>
        </w:rPr>
        <w:t>Sinkovicz Zoltán polgármester</w:t>
      </w:r>
    </w:p>
    <w:p w14:paraId="34D0102C" w14:textId="77777777" w:rsidR="005C5DD0" w:rsidRPr="005C5DD0" w:rsidRDefault="005C5DD0" w:rsidP="005C5DD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E74FCF" w14:textId="77777777" w:rsidR="005C5DD0" w:rsidRPr="005C5DD0" w:rsidRDefault="005C5DD0" w:rsidP="004D541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sectPr w:rsidR="005C5DD0" w:rsidRPr="005C5DD0" w:rsidSect="005C5DD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lo">
    <w:altName w:val="Calibri"/>
    <w:charset w:val="EE"/>
    <w:family w:val="auto"/>
    <w:pitch w:val="variable"/>
    <w:sig w:usb0="800000AF" w:usb1="0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AF52C8"/>
    <w:multiLevelType w:val="hybridMultilevel"/>
    <w:tmpl w:val="9A482F4E"/>
    <w:lvl w:ilvl="0" w:tplc="323CB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C7FFC">
      <w:numFmt w:val="none"/>
      <w:lvlText w:val=""/>
      <w:lvlJc w:val="left"/>
      <w:pPr>
        <w:tabs>
          <w:tab w:val="num" w:pos="360"/>
        </w:tabs>
      </w:pPr>
    </w:lvl>
    <w:lvl w:ilvl="2" w:tplc="51BC0706">
      <w:numFmt w:val="none"/>
      <w:lvlText w:val=""/>
      <w:lvlJc w:val="left"/>
      <w:pPr>
        <w:tabs>
          <w:tab w:val="num" w:pos="360"/>
        </w:tabs>
      </w:pPr>
    </w:lvl>
    <w:lvl w:ilvl="3" w:tplc="F1F264BA">
      <w:numFmt w:val="none"/>
      <w:lvlText w:val=""/>
      <w:lvlJc w:val="left"/>
      <w:pPr>
        <w:tabs>
          <w:tab w:val="num" w:pos="360"/>
        </w:tabs>
      </w:pPr>
    </w:lvl>
    <w:lvl w:ilvl="4" w:tplc="9CE0D51C">
      <w:numFmt w:val="none"/>
      <w:lvlText w:val=""/>
      <w:lvlJc w:val="left"/>
      <w:pPr>
        <w:tabs>
          <w:tab w:val="num" w:pos="360"/>
        </w:tabs>
      </w:pPr>
    </w:lvl>
    <w:lvl w:ilvl="5" w:tplc="28A6B7A2">
      <w:numFmt w:val="none"/>
      <w:lvlText w:val=""/>
      <w:lvlJc w:val="left"/>
      <w:pPr>
        <w:tabs>
          <w:tab w:val="num" w:pos="360"/>
        </w:tabs>
      </w:pPr>
    </w:lvl>
    <w:lvl w:ilvl="6" w:tplc="38BE1D7C">
      <w:numFmt w:val="none"/>
      <w:lvlText w:val=""/>
      <w:lvlJc w:val="left"/>
      <w:pPr>
        <w:tabs>
          <w:tab w:val="num" w:pos="360"/>
        </w:tabs>
      </w:pPr>
    </w:lvl>
    <w:lvl w:ilvl="7" w:tplc="9B8A9982">
      <w:numFmt w:val="none"/>
      <w:lvlText w:val=""/>
      <w:lvlJc w:val="left"/>
      <w:pPr>
        <w:tabs>
          <w:tab w:val="num" w:pos="360"/>
        </w:tabs>
      </w:pPr>
    </w:lvl>
    <w:lvl w:ilvl="8" w:tplc="B30672E8">
      <w:numFmt w:val="none"/>
      <w:lvlText w:val=""/>
      <w:lvlJc w:val="left"/>
      <w:pPr>
        <w:tabs>
          <w:tab w:val="num" w:pos="360"/>
        </w:tabs>
      </w:pPr>
    </w:lvl>
  </w:abstractNum>
  <w:num w:numId="1" w16cid:durableId="77143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7C"/>
    <w:rsid w:val="001D1E3B"/>
    <w:rsid w:val="001E2243"/>
    <w:rsid w:val="00383886"/>
    <w:rsid w:val="004D5411"/>
    <w:rsid w:val="004F014C"/>
    <w:rsid w:val="00534ECC"/>
    <w:rsid w:val="00584A96"/>
    <w:rsid w:val="005C5DD0"/>
    <w:rsid w:val="00786A7C"/>
    <w:rsid w:val="007E2A59"/>
    <w:rsid w:val="009D0F41"/>
    <w:rsid w:val="00AB6A50"/>
    <w:rsid w:val="00B011DD"/>
    <w:rsid w:val="00CC509B"/>
    <w:rsid w:val="00DE1AF0"/>
    <w:rsid w:val="00DE2696"/>
    <w:rsid w:val="00D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0B8D"/>
  <w15:chartTrackingRefBased/>
  <w15:docId w15:val="{DE55A9A2-BD7D-408A-A97A-5146ED52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6A7C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86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A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6A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6A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6A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6A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6A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6A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6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6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6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6A7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6A7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6A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6A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6A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6A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6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8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6A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86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6A7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86A7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6A7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86A7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6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6A7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6A7C"/>
    <w:rPr>
      <w:b/>
      <w:bCs/>
      <w:smallCaps/>
      <w:color w:val="0F4761" w:themeColor="accent1" w:themeShade="BF"/>
      <w:spacing w:val="5"/>
    </w:rPr>
  </w:style>
  <w:style w:type="paragraph" w:customStyle="1" w:styleId="StlusBal108cm">
    <w:name w:val="Stílus Bal:  108 cm"/>
    <w:basedOn w:val="Norml"/>
    <w:rsid w:val="00584A96"/>
    <w:pPr>
      <w:spacing w:after="80" w:line="280" w:lineRule="exact"/>
      <w:ind w:left="612"/>
      <w:jc w:val="both"/>
    </w:pPr>
    <w:rPr>
      <w:rFonts w:ascii="Polo" w:eastAsia="Times New Roman" w:hAnsi="Polo"/>
      <w:sz w:val="24"/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2024-09-06T08:46:00Z</dcterms:created>
  <dcterms:modified xsi:type="dcterms:W3CDTF">2024-09-10T09:13:00Z</dcterms:modified>
</cp:coreProperties>
</file>